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800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通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知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按照学校办公设备及家具每年度二次集中购置的工作安排，本着实事求是、厉行节约、合理利用资源的原则，并严格控制未到报废年限需更新的办公设备数量。根据陕教财办［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2017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］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文件精神要求，学校集中配置后原则不再零星配置办公设备（电脑和打印机）。务请各部门资产管理员根据本部门工作需要，认真核对申报数量，如实填报西安医学院办公设备购置（集中）统计表，于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2017年9月30日前将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纸质和电子版一并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报送到资产设备处国有资产管理科（行政楼-421室）。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附：西安医学院办公设备购置（集中）统计表</w:t>
      </w:r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   </w:t>
      </w:r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</w:p>
    <w:p>
      <w:pPr>
        <w:ind w:firstLine="3600" w:firstLineChars="12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资产设备处</w:t>
      </w:r>
    </w:p>
    <w:p>
      <w:pPr>
        <w:ind w:firstLine="3300" w:firstLineChars="110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2017年9月4日</w:t>
      </w:r>
    </w:p>
    <w:p>
      <w:pPr>
        <w:jc w:val="left"/>
        <w:rPr>
          <w:rFonts w:hint="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cstheme="minorBidi"/>
          <w:kern w:val="2"/>
          <w:sz w:val="30"/>
          <w:szCs w:val="30"/>
          <w:lang w:val="en-US" w:eastAsia="zh-CN" w:bidi="ar-SA"/>
        </w:rPr>
        <w:object>
          <v:shape id="_x0000_i1025" o:spt="75" type="#_x0000_t75" style="height:686.75pt;width:794.0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8" ShapeID="_x0000_i1025" DrawAspect="Content" ObjectID="_1468075725" r:id="rId4">
            <o:LockedField>false</o:LockedField>
          </o:OLEObject>
        </w:objec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 xml:space="preserve">     </w:t>
      </w:r>
    </w:p>
    <w:p>
      <w:pPr>
        <w:jc w:val="left"/>
        <w:rPr>
          <w:rFonts w:hint="eastAsia" w:cstheme="minorBidi"/>
          <w:kern w:val="2"/>
          <w:sz w:val="30"/>
          <w:szCs w:val="30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30"/>
          <w:szCs w:val="30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C343C"/>
    <w:rsid w:val="11964564"/>
    <w:rsid w:val="132D3381"/>
    <w:rsid w:val="654F0640"/>
    <w:rsid w:val="68EA33AA"/>
    <w:rsid w:val="6E7668C4"/>
    <w:rsid w:val="730E3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